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napToGrid w:val="0"/>
          <w:color w:val="0462B2"/>
          <w:kern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365125</wp:posOffset>
            </wp:positionV>
            <wp:extent cx="809625" cy="809625"/>
            <wp:effectExtent l="0" t="0" r="9525" b="9525"/>
            <wp:wrapNone/>
            <wp:docPr id="3" name="图片 2" descr="成都水展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成都水展微信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lang w:eastAsia="zh-CN"/>
        </w:rPr>
        <w:t>第十四届成都国际水展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6"/>
          <w:szCs w:val="26"/>
          <w:lang w:val="en-US" w:eastAsia="zh-CN"/>
        </w:rPr>
      </w:pPr>
      <w:bookmarkStart w:id="0" w:name="OLE_LINK1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6"/>
          <w:szCs w:val="26"/>
          <w:lang w:val="en-US" w:eastAsia="zh-CN"/>
        </w:rPr>
        <w:t>污水处理·给排水与泵阀管·膜与水处理·末端净水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6"/>
          <w:szCs w:val="26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70C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6"/>
          <w:szCs w:val="26"/>
          <w:lang w:val="en-US" w:eastAsia="zh-CN"/>
        </w:rPr>
        <w:t xml:space="preserve">月19-21日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val="en-US" w:eastAsia="zh-CN"/>
        </w:rPr>
        <w:t xml:space="preserve">    成都世纪城新国际会展中心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西部 | 最具规模和品质 | 专业水展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CDWE成都国际水展作为西部地区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唯一</w:t>
      </w:r>
      <w:r>
        <w:rPr>
          <w:rFonts w:hint="eastAsia" w:ascii="微软雅黑" w:hAnsi="微软雅黑" w:eastAsia="微软雅黑" w:cs="微软雅黑"/>
          <w:lang w:val="en-US" w:eastAsia="zh-CN"/>
        </w:rPr>
        <w:t>高品质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专业</w:t>
      </w:r>
      <w:r>
        <w:rPr>
          <w:rFonts w:hint="eastAsia" w:ascii="微软雅黑" w:hAnsi="微软雅黑" w:eastAsia="微软雅黑" w:cs="微软雅黑"/>
          <w:lang w:val="en-US" w:eastAsia="zh-CN"/>
        </w:rPr>
        <w:t>水展，在成都已成功举办13届，每年4月与成都环保产业博览会同期召开，由成都新中联展览有限公司联合四川省环境科学学会、四川省城镇供水排水协会、成都市环保产业协会等地方行业权威机构共同打造，旨在为相关专业人员提供有效商务交流平台，为产业链各方建立专业沟通桥梁，展会规模和品质位居西部行业之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【上届回顾】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2017 CDWE成都国际水展于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2017年4月13—15日在成都世纪城新国际会展中心成功举行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，展会成功吸引来自来自中、美、加、英、韩、芬、德、意、以、韩、新、台湾等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个国家和地区的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289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家品牌企业参展，展出面积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15,000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平米，大会同期推出专题论坛会议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场，根据第三方统计，三天展期共接待观众累计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15,132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人次，云贵川渝观众占比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67.2%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，展示规模、展商数量及专业参观人数均创新高，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高质量的专业水平体现了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西部第一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专业水展的地位。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成都水展以提升参展效益为导向，吸引国内外众多知名品牌如：桑德、碧水水务、兴蓉集团、达格水务、环能德美、东日环保、天翔环境、合续环保、川源机械、兴源环境、大团环保、安尼康、康泰、晟启能源、中科博联、爱克德基、沪东麦斯特、无锡工源、海拓环保、康尔臭氧、百事德、水生环境、普罗生物、海德能、陶氏化学、海德隆、玉树、中韩杜科、熊猫机械、格兰富、利欧、seko、力高、南方泵业、台湾塑宝、莲盛泵业、伯尔梅特、三厘、亚大、联塑、班尼戈、GF、恒通环境、中仪物联、招金膜天、博鑫精陶、美富特、麦王、大立过滤、哈希、蓝典科技、莱比信、约克仪器、科瑞达、重庆川仪、A.O史密斯、安吉尔、浩泽、森乐、以色列展团、韩国展团、四川乐山市高新技术产业园区展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【展会亮点】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1" w:name="OLE_LINK24"/>
      <w:bookmarkStart w:id="2" w:name="OLE_LINK21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专业品质：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污水处理、给排水与泵阀管、膜与水处理、末端净水覆盖全产业链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强强联合：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政府</w:t>
      </w:r>
      <w:bookmarkStart w:id="3" w:name="OLE_LINK25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及行业协会权强力支持和参与</w:t>
      </w:r>
      <w:bookmarkEnd w:id="3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，市政、工业、商用、民用观众全覆盖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bookmarkStart w:id="4" w:name="OLE_LINK15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深耕西部：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依托成都在西部显著地区位优势和产业基础、辐射西南、</w:t>
      </w:r>
      <w:r>
        <w:rPr>
          <w:rStyle w:val="9"/>
          <w:rFonts w:hint="eastAsia" w:ascii="微软雅黑" w:hAnsi="微软雅黑" w:eastAsia="微软雅黑" w:cs="微软雅黑"/>
          <w:sz w:val="21"/>
          <w:szCs w:val="21"/>
          <w:lang w:val="en-US" w:eastAsia="zh-CN"/>
        </w:rPr>
        <w:t>深挖西部市场需求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优质观众：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西南近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90+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家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水务相关协会、科研院所、大型工程商及采购方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组团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参观</w:t>
      </w:r>
    </w:p>
    <w:bookmarkEnd w:id="4"/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bookmarkStart w:id="5" w:name="OLE_LINK23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实力组展：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西部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水业市场会展经验及全产业链数据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累积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，品质有保证</w:t>
      </w:r>
    </w:p>
    <w:bookmarkEnd w:id="5"/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6" w:name="OLE_LINK22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品质活动：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</w:rPr>
        <w:t>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同期技术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学术论坛、推介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招商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会，满足企业立体式宣传需求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综合平台：</w:t>
      </w:r>
      <w:bookmarkEnd w:id="2"/>
      <w:bookmarkEnd w:id="6"/>
      <w:r>
        <w:rPr>
          <w:rFonts w:hint="eastAsia" w:ascii="微软雅黑" w:hAnsi="微软雅黑" w:eastAsia="微软雅黑" w:cs="微软雅黑"/>
          <w:lang w:val="en-US" w:eastAsia="zh-CN"/>
        </w:rPr>
        <w:t>产业链政、产、学、研、用共聚，各方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面对面</w:t>
      </w:r>
      <w:r>
        <w:rPr>
          <w:rFonts w:hint="eastAsia" w:ascii="微软雅黑" w:hAnsi="微软雅黑" w:eastAsia="微软雅黑" w:cs="微软雅黑"/>
          <w:lang w:val="en-US" w:eastAsia="zh-CN"/>
        </w:rPr>
        <w:t>交流的绝佳平台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【组织机构】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9" w:beforeLines="25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联办单位（排名不分先后）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134" w:bottom="90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四川省城镇供水排水协会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成都市环保产业协会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四川省环境科学学会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四川新中联展览服务有限公司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cols w:equalWidth="0" w:num="2">
            <w:col w:w="4606" w:space="425"/>
            <w:col w:w="4606"/>
          </w:cols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9" w:beforeLines="25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支持/协办（排名不分先后）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家城市污水处理与资源化工程技术中心、四川省城镇供排水协会排水专委会、四川省环保协会水污染防治专委会、四川省水污染防治服务协会、四川省节能协会、四川省新能源产业促进会、四川省水处理及资源再生利用协会、四川省造纸行业协会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四川省化工机械动协会、</w:t>
      </w:r>
      <w:r>
        <w:rPr>
          <w:rFonts w:hint="eastAsia" w:ascii="微软雅黑" w:hAnsi="微软雅黑" w:eastAsia="微软雅黑" w:cs="微软雅黑"/>
          <w:lang w:val="en-US" w:eastAsia="zh-CN"/>
        </w:rPr>
        <w:t>成都表面工程行业协会。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9" w:beforeLines="25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特邀单位（排名不分先后）：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yellow"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cols w:space="425" w:num="1"/>
          <w:rtlGutter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t>四川省环境科学研究院、中国市政工程西南设计研究总院、信息产业电子第十一设计研究院、中国成达工程有限公司……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9" w:beforeLines="25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承办单位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成都新中联展览有限公司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【日程安排】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417" w:right="1134" w:bottom="907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布展时间：2018年4月17-18日(9:00-18:00)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展览时间：2018年4月19-21日(9:30-17:00)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技术交流：2018年4月19-20日(9:30-17:00)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撤展时间：2018年4月21日(14:00-21:00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cols w:equalWidth="0" w:num="2">
            <w:col w:w="4606" w:space="425"/>
            <w:col w:w="4606"/>
          </w:cols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bookmarkStart w:id="11" w:name="_GoBack"/>
      <w:bookmarkEnd w:id="11"/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【展商增值服务及大会宣传】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-17" w:leftChars="-8" w:right="0" w:rightChars="0" w:firstLine="16" w:firstLineChars="8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参展企业享受大会官网、微信、媒体、定制请柬、展前预览、会刊、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EDM、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媒体采访等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eastAsia="zh-CN"/>
        </w:rPr>
        <w:t>综合服务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资源；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-17" w:leftChars="-8" w:right="0" w:rightChars="0" w:firstLine="16" w:firstLineChars="8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全年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媒体合作推广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大众媒体、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环保相关行业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专业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媒体线上线下合作，展前展中展后持续宣传；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219" w:leftChars="8" w:right="0" w:rightChars="0" w:hanging="202" w:hangingChars="96"/>
        <w:jc w:val="both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环保水展组织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经验，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100,000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专业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客户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数据，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EDM及短信群发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观众中心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请柬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快递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、传真、电邮全方位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推送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邀请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-17" w:leftChars="-8" w:right="0" w:rightChars="0" w:firstLine="16" w:firstLineChars="8"/>
        <w:jc w:val="both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组委会赴国内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水处理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相关展会，现场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宣传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和观众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邀请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也为展商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针对全国业内人士做深度推广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220"/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-17" w:leftChars="-8" w:right="0" w:rightChars="0" w:firstLine="16" w:firstLineChars="8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确定54㎡以上面积展商，享受组委会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eastAsia="zh-CN"/>
        </w:rPr>
        <w:t>定制的“展商—专业观众”精准对接洽谈服务。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0"/>
          <w:tab w:val="left" w:pos="2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-1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【同期重要活动】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bookmarkStart w:id="7" w:name="OLE_LINK36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一、企业定制“展商—专业观众”精准对接洽谈会；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二、</w:t>
      </w:r>
      <w:bookmarkStart w:id="8" w:name="OLE_LINK46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举办荣获四川省环保厅/省环科学会评选的2016-2017年度“四川省环境保护科学技术奖”</w:t>
      </w:r>
      <w:bookmarkEnd w:id="8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公益展；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三、“2018西部环保行业高端人才交流招聘会”；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四、10余场高端会议论坛：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由行业机构牵头组织政府部门领导、科研院所专家、企业领袖齐聚，围绕市政水务、工业水处理、水质监测、水源地保护、给排水、市场营销等主题，拟举办近10场多形式活动，部分确定议题如下：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四川省环境科学学会主导“2018四川环保科技学术交流会”，部分主题涉及：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环境监测；农村和小城镇环保（水、垃圾、农废）；环保PPP专题研讨会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成都市环境保护产业协会主导“2018水污染防治技术论坛”，部分主题涉及：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黑臭水体治理；乡镇污水处理；高难度工业废水处理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四川省水污染治理服务协会主导“2018城镇污水处理技术研讨会”，部分主题涉及：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供水技术装备交流会；污水处理厂技术设备交流会；污泥处理处置技术与资源化利用；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四川省生态文明促进会主办“2018四川生态文明发展论坛”，部分主题涉及：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地下水治理与修复；水域及水源地保护论坛；海绵城市主题交流会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成都表面工程行业协会主导“2018电镀废水处理新技术交流会”；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成都市环境保护产业协会主导“2018全国副省级城市环保产业协会联席会”；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2018成都净水行业发展研讨会暨经销商会议；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【目标观众】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经销商、代理商、贸易商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发改委、经信委、环保、住建、农林、水务、水利、园林绿化、疾控防疫等主管部门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供排水公司、污水处理厂、自来水公司、水务公司、城投城建、设计院、水处理工程商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石油、化工、钢铁、冶金、电力、造纸、制药、矿业、印染、印刷、食品、饮料、酿造、电子、电镀、水泥、锅炉、消防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地产、建筑建材、地暖、家电、医院、酒店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科研院所、行业协会、咨询公司、金融机构、其他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【展品范围】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color w:val="0066FF"/>
          <w:sz w:val="21"/>
          <w:szCs w:val="21"/>
          <w:lang w:val="en-US"/>
        </w:rPr>
      </w:pPr>
      <w:r>
        <w:rPr>
          <w:rStyle w:val="9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大会分设污水处理、膜与水处理、给排水与泵阀管、末端净水四大专题：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污水：</w:t>
      </w:r>
      <w:r>
        <w:rPr>
          <w:rFonts w:hint="eastAsia" w:ascii="微软雅黑" w:hAnsi="微软雅黑" w:eastAsia="微软雅黑" w:cs="微软雅黑"/>
          <w:lang w:val="en-US" w:eastAsia="zh-CN"/>
        </w:rPr>
        <w:t>工业废水与生活污水处理技术与设备、中水回用处理、循环水处理技术及设备、锅炉补给水处理、污水净化技术、污水处理成套设备，机械-物理工艺、化学-物理工艺、污泥及残渣处理设备、水处理药剂与材料等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给排水与泵管阀：</w:t>
      </w:r>
      <w:r>
        <w:rPr>
          <w:rFonts w:hint="eastAsia" w:ascii="微软雅黑" w:hAnsi="微软雅黑" w:eastAsia="微软雅黑" w:cs="微软雅黑"/>
          <w:lang w:val="en-US" w:eastAsia="zh-CN"/>
        </w:rPr>
        <w:t>泵、阀门、管道、管网及其检测、管材管件、建筑上下水设备，二次供水设备、  高楼增压供水设备、节水技术设备、冷却塔设备等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膜与相关配套产品、分离与过滤设备等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自控监测及仪器仪表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灌溉系统、雨水系统水务、工程服务、认证、咨询等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净饮水：</w:t>
      </w:r>
      <w:r>
        <w:rPr>
          <w:rFonts w:hint="eastAsia" w:ascii="微软雅黑" w:hAnsi="微软雅黑" w:eastAsia="微软雅黑" w:cs="微软雅黑"/>
          <w:lang w:val="en-US" w:eastAsia="zh-CN"/>
        </w:rPr>
        <w:t>家用/商用纯水机、净水器材、杀菌消毒设备、纯净水、蒸馏水、高纯水等制水技术与设备、桶装水的灌装系统及设备等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【收费标准】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空地特装展位（T区）</w:t>
      </w:r>
      <w:r>
        <w:rPr>
          <w:rFonts w:hint="eastAsia" w:ascii="微软雅黑" w:hAnsi="微软雅黑" w:eastAsia="微软雅黑" w:cs="微软雅黑"/>
          <w:lang w:val="en-US" w:eastAsia="zh-CN"/>
        </w:rPr>
        <w:t>：36㎡起租，￥900元/㎡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6" w:firstLineChars="203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无免费设施，如有设备需求，须自行准备或提前申请租用；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标准展位</w:t>
      </w:r>
      <w:r>
        <w:rPr>
          <w:rFonts w:hint="eastAsia" w:ascii="微软雅黑" w:hAnsi="微软雅黑" w:eastAsia="微软雅黑" w:cs="微软雅黑"/>
          <w:lang w:val="en-US" w:eastAsia="zh-CN"/>
        </w:rPr>
        <w:t>：9㎡/个（3m×3m）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标准展台￥8500元/个（免费配备：一桌两椅、射灯两盏、500W插座一个、楣板）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豪华展台￥9800元/个（免费配备：一桌两椅、射灯两盏、500W插座一个、彩色楣板、地毯）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技术交流/发布会</w:t>
      </w:r>
      <w:r>
        <w:rPr>
          <w:rFonts w:hint="eastAsia" w:ascii="微软雅黑" w:hAnsi="微软雅黑" w:eastAsia="微软雅黑" w:cs="微软雅黑"/>
          <w:lang w:val="en-US" w:eastAsia="zh-CN"/>
        </w:rPr>
        <w:t>：组合场¥3800/10分钟；¥5800/20分钟；独立专场：¥9800/120分钟；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【赞助及广告】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sz w:val="21"/>
          <w:szCs w:val="21"/>
          <w:lang w:val="en-US"/>
        </w:rPr>
        <w:t xml:space="preserve">    </w:t>
      </w:r>
      <w:r>
        <w:rPr>
          <w:rFonts w:hint="eastAsia" w:ascii="微软雅黑" w:hAnsi="微软雅黑" w:eastAsia="微软雅黑" w:cs="微软雅黑"/>
          <w:lang w:val="en-US" w:eastAsia="zh-CN"/>
        </w:rPr>
        <w:t>会刊（规格210mm×140mm）印刷8000册，汇集了参展商的基本信息，除在展会上派发给参展商及到场参观单位，还将寄给未参观的买家。认刊价格如下：</w:t>
      </w:r>
    </w:p>
    <w:tbl>
      <w:tblPr>
        <w:tblStyle w:val="8"/>
        <w:tblW w:w="93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37"/>
        <w:gridCol w:w="1025"/>
        <w:gridCol w:w="1613"/>
        <w:gridCol w:w="1800"/>
        <w:gridCol w:w="1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封面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20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封底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5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扉页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/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封二/封三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8000元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内彩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5000元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/版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黑白内页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2000元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/版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bookmarkStart w:id="9" w:name="OLE_LINK6"/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文字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简介</w:t>
            </w:r>
            <w:bookmarkEnd w:id="9"/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zh-CN"/>
              </w:rPr>
              <w:t>参展</w:t>
            </w: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  <w:t>/</w:t>
            </w: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zh-CN"/>
              </w:rPr>
              <w:t>观证广告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2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万元/万个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礼品袋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3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万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元/5000个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拱门（跨度12米）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12000元/展期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气球</w:t>
            </w: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eastAsia="zh-CN"/>
              </w:rPr>
              <w:t>（或气柱）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4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000元/个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门票广告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8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000元/万张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广场广告牌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4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00元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/㎡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（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30㎡起</w:t>
            </w:r>
            <w:r>
              <w:rPr>
                <w:rStyle w:val="9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赞助方案：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金牌赞助商：80000元/家（独家）；  B级赞助商：40000元/家（仅限2家）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展会邀请函、大会主背景板、论坛背景板、门票/请柬等对外宣传资料立体赞助推广</w:t>
      </w:r>
      <w:bookmarkStart w:id="10" w:name="OLE_LINK4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（详情备索）</w:t>
      </w:r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展会、论坛主背景板赞助单位：5000元/个（限5名），品牌企业logo展示（详情备索）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* </w:t>
      </w:r>
      <w:r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</w:rPr>
        <w:t>更多广告位及价格、赞助方案等可详询组委会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【参展程序】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完整填写参展申请表并加盖公章后传至组委会，主办方盖章回传以确参展申请；展商于5天内按合同将费用转至组委会，全额到账后展位正式生效，组委会开具发票。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展位按“先申请、先付款、先选取/分配”原则，54㎡以上参展面积可优先安排显要位置。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有关报到、布展、特装搭建、展具租赁，展品运输、住宿等会务事宜，请在展前登录官方网站下载《参展商服务指南》或直接向组委会索取。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楷体_GB2312"/>
          <w:b/>
          <w:color w:val="0070C0"/>
          <w:sz w:val="24"/>
          <w:szCs w:val="24"/>
          <w:lang w:val="en-US" w:eastAsia="zh-CN"/>
        </w:rPr>
        <w:t>【联络方式】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成都新中联展览有限公司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地址：成都市高新区益州大道中段888号智地哥谭1栋1418号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联系人：李俊宏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邮件：2100766261@qq.com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手机：17358569240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电话：028-85505376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传真：028-85505909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官网：www.water-cd.com</w:t>
      </w:r>
    </w:p>
    <w:sectPr>
      <w:type w:val="continuous"/>
      <w:pgSz w:w="11906" w:h="16838"/>
      <w:pgMar w:top="1417" w:right="1134" w:bottom="90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黑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长城行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美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细圆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粗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粗魏碑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广告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彩云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LiHei-Lt">
    <w:panose1 w:val="020B0309000000000000"/>
    <w:charset w:val="88"/>
    <w:family w:val="auto"/>
    <w:pitch w:val="default"/>
    <w:sig w:usb0="80000001" w:usb1="28091800" w:usb2="00000016" w:usb3="00000000" w:csb0="00100000" w:csb1="00000000"/>
  </w:font>
  <w:font w:name="DFLiKaiShu-Md">
    <w:panose1 w:val="03000509000000000000"/>
    <w:charset w:val="86"/>
    <w:family w:val="auto"/>
    <w:pitch w:val="default"/>
    <w:sig w:usb0="F1007BFF" w:usb1="29FFFFFF" w:usb2="00000037" w:usb3="00000000" w:csb0="003F00FF" w:csb1="D7FF0000"/>
  </w:font>
  <w:font w:name="长城细圆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粗行楷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LiHei-Bd">
    <w:panose1 w:val="020B0709000000000000"/>
    <w:charset w:val="88"/>
    <w:family w:val="auto"/>
    <w:pitch w:val="default"/>
    <w:sig w:usb0="80000001" w:usb1="28091800" w:usb2="00000016" w:usb3="00000000" w:csb0="00100000" w:csb1="00000000"/>
  </w:font>
  <w:font w:name="DFLiSong-Lt">
    <w:panose1 w:val="02020309000000000000"/>
    <w:charset w:val="86"/>
    <w:family w:val="auto"/>
    <w:pitch w:val="default"/>
    <w:sig w:usb0="F1007BFF" w:usb1="29FFFFFF" w:usb2="00000037" w:usb3="00000000" w:csb0="003F00FF" w:csb1="D7FF0000"/>
  </w:font>
  <w:font w:name="DFLiuXian-B5">
    <w:panose1 w:val="03000209000000000000"/>
    <w:charset w:val="88"/>
    <w:family w:val="auto"/>
    <w:pitch w:val="default"/>
    <w:sig w:usb0="80000001" w:usb1="28091800" w:usb2="00000016" w:usb3="00000000" w:csb0="00100000" w:csb1="00000000"/>
  </w:font>
  <w:font w:name="DFLiYuan-Bd">
    <w:panose1 w:val="020F0709000000000000"/>
    <w:charset w:val="88"/>
    <w:family w:val="auto"/>
    <w:pitch w:val="default"/>
    <w:sig w:usb0="80000001" w:usb1="28091800" w:usb2="00000016" w:usb3="00000000" w:csb0="00100000" w:csb1="00000000"/>
  </w:font>
  <w:font w:name="DFMingLight-B5">
    <w:panose1 w:val="02020309000000000000"/>
    <w:charset w:val="86"/>
    <w:family w:val="auto"/>
    <w:pitch w:val="default"/>
    <w:sig w:usb0="F1007BFF" w:usb1="29FFFFFF" w:usb2="00000037" w:usb3="00000000" w:csb0="003F00FF" w:csb1="D7FF0000"/>
  </w:font>
  <w:font w:name="DFPLiHei-Lt">
    <w:panose1 w:val="020B0300000000000000"/>
    <w:charset w:val="88"/>
    <w:family w:val="auto"/>
    <w:pitch w:val="default"/>
    <w:sig w:usb0="80000001" w:usb1="28091800" w:usb2="00000016" w:usb3="00000000" w:csb0="00100000" w:csb1="00000000"/>
  </w:font>
  <w:font w:name="DFPLiShuW3-B5">
    <w:panose1 w:val="03000300000000000000"/>
    <w:charset w:val="88"/>
    <w:family w:val="auto"/>
    <w:pitch w:val="default"/>
    <w:sig w:usb0="80000001" w:usb1="28091800" w:usb2="00000016" w:usb3="00000000" w:csb0="00100000" w:csb1="00000000"/>
  </w:font>
  <w:font w:name="DFPLiShuW5-B5"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DFPLiSong-Bd">
    <w:panose1 w:val="02020700000000000000"/>
    <w:charset w:val="88"/>
    <w:family w:val="auto"/>
    <w:pitch w:val="default"/>
    <w:sig w:usb0="80000001" w:usb1="28091800" w:usb2="00000016" w:usb3="00000000" w:csb0="00100000" w:csb1="00000000"/>
  </w:font>
  <w:font w:name="DFPLiSong-Lt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FPLiuLiuW7-B5">
    <w:panose1 w:val="040F0700000000000000"/>
    <w:charset w:val="88"/>
    <w:family w:val="auto"/>
    <w:pitch w:val="default"/>
    <w:sig w:usb0="80000001" w:usb1="28091800" w:usb2="00000016" w:usb3="00000000" w:csb0="00100000" w:csb1="00000000"/>
  </w:font>
  <w:font w:name="DFPLiYuan-Bd">
    <w:panose1 w:val="020F0700000000000000"/>
    <w:charset w:val="88"/>
    <w:family w:val="auto"/>
    <w:pitch w:val="default"/>
    <w:sig w:usb0="80000001" w:usb1="28091800" w:usb2="00000016" w:usb3="00000000" w:csb0="00100000" w:csb1="00000000"/>
  </w:font>
  <w:font w:name="DFPLiYuan-XB">
    <w:panose1 w:val="020F0800000000000000"/>
    <w:charset w:val="88"/>
    <w:family w:val="auto"/>
    <w:pitch w:val="default"/>
    <w:sig w:usb0="80000001" w:usb1="28091800" w:usb2="00000016" w:usb3="00000000" w:csb0="00100000" w:csb1="00000000"/>
  </w:font>
  <w:font w:name="DFPLungMen-B5">
    <w:panose1 w:val="030007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FPYanKaiW5-B5"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DFTongTong-B5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DFYanKaiW5-B5"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nWangWCL03">
    <w:panose1 w:val="02020500000000000000"/>
    <w:charset w:val="88"/>
    <w:family w:val="auto"/>
    <w:pitch w:val="default"/>
    <w:sig w:usb0="800003B7" w:usb1="38CFFC78" w:usb2="00000016" w:usb3="00000000" w:csb0="001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Garamond">
    <w:altName w:val="Adobe Garamond Pro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FPLiKaiShu-Md">
    <w:panose1 w:val="03000500000000000000"/>
    <w:charset w:val="86"/>
    <w:family w:val="auto"/>
    <w:pitch w:val="default"/>
    <w:sig w:usb0="F1007BFF" w:usb1="29FFFFFF" w:usb2="00000037" w:usb3="00000000" w:csb0="003F00FF" w:csb1="D7FF0000"/>
  </w:font>
  <w:font w:name="DFPLiuLiW5-B5"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DFPTongTong-B5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9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长城粗魏碑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瀹嬩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魂心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ail">
    <w:altName w:val="庞中华简体 V2007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ospace">
    <w:altName w:val="庞中华简体 V2007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文鼎CS大隶书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DFPLiKingHei-XB">
    <w:panose1 w:val="020B0800000000000000"/>
    <w:charset w:val="88"/>
    <w:family w:val="auto"/>
    <w:pitch w:val="default"/>
    <w:sig w:usb0="80000001" w:usb1="28091800" w:usb2="00000016" w:usb3="00000000" w:csb0="0010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RomanS">
    <w:altName w:val="魂心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88" w:lineRule="auto"/>
      <w:ind w:left="0" w:leftChars="0" w:right="0" w:rightChars="0" w:firstLine="0" w:firstLineChars="0"/>
      <w:jc w:val="right"/>
      <w:textAlignment w:val="auto"/>
      <w:outlineLvl w:val="9"/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color w:val="auto"/>
        <w:sz w:val="26"/>
        <w:szCs w:val="26"/>
        <w:lang w:val="en-US" w:eastAsia="zh-C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-100965</wp:posOffset>
          </wp:positionV>
          <wp:extent cx="1149985" cy="393700"/>
          <wp:effectExtent l="0" t="0" r="12065" b="6350"/>
          <wp:wrapNone/>
          <wp:docPr id="4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985" cy="393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eastAsia="黑体" w:cs="Arial"/>
        <w:b w:val="0"/>
        <w:bCs w:val="0"/>
        <w:sz w:val="21"/>
        <w:szCs w:val="2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1236345</wp:posOffset>
          </wp:positionH>
          <wp:positionV relativeFrom="paragraph">
            <wp:posOffset>-97790</wp:posOffset>
          </wp:positionV>
          <wp:extent cx="1269365" cy="400050"/>
          <wp:effectExtent l="0" t="0" r="6985" b="0"/>
          <wp:wrapNone/>
          <wp:docPr id="6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36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 xml:space="preserve">                                                                      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www.</w:t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>water-cd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.com</w:t>
    </w:r>
  </w:p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right="0" w:rightChars="0" w:firstLine="0" w:firstLineChars="0"/>
      <w:jc w:val="right"/>
      <w:textAlignment w:val="auto"/>
      <w:outlineLvl w:val="9"/>
      <w:rPr>
        <w:sz w:val="21"/>
        <w:szCs w:val="21"/>
      </w:rPr>
    </w:pP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>+86 (0)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28</w:t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 xml:space="preserve"> 85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88" w:lineRule="auto"/>
      <w:ind w:left="0" w:leftChars="0" w:right="0" w:rightChars="0" w:firstLine="0" w:firstLineChars="0"/>
      <w:jc w:val="right"/>
      <w:textAlignment w:val="auto"/>
      <w:outlineLvl w:val="9"/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color w:val="auto"/>
        <w:sz w:val="26"/>
        <w:szCs w:val="26"/>
        <w:lang w:val="en-US" w:eastAsia="zh-CN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-100965</wp:posOffset>
          </wp:positionV>
          <wp:extent cx="1149985" cy="393700"/>
          <wp:effectExtent l="0" t="0" r="12065" b="6350"/>
          <wp:wrapNone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985" cy="393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eastAsia="黑体" w:cs="Arial"/>
        <w:b w:val="0"/>
        <w:bCs w:val="0"/>
        <w:sz w:val="21"/>
        <w:szCs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1236345</wp:posOffset>
          </wp:positionH>
          <wp:positionV relativeFrom="paragraph">
            <wp:posOffset>-97790</wp:posOffset>
          </wp:positionV>
          <wp:extent cx="1269365" cy="400050"/>
          <wp:effectExtent l="0" t="0" r="6985" b="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36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 xml:space="preserve">                                                                      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www.</w:t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>water-cd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.com</w:t>
    </w:r>
  </w:p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right="0" w:rightChars="0" w:firstLine="0" w:firstLineChars="0"/>
      <w:jc w:val="right"/>
      <w:textAlignment w:val="auto"/>
      <w:outlineLvl w:val="9"/>
      <w:rPr>
        <w:sz w:val="21"/>
        <w:szCs w:val="21"/>
      </w:rPr>
    </w:pP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>+86 (0)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28</w:t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 xml:space="preserve"> 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715A"/>
    <w:multiLevelType w:val="singleLevel"/>
    <w:tmpl w:val="561B715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1CB243"/>
    <w:multiLevelType w:val="singleLevel"/>
    <w:tmpl w:val="561CB24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9A3ECF5"/>
    <w:multiLevelType w:val="singleLevel"/>
    <w:tmpl w:val="59A3ECF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BF7903"/>
    <w:multiLevelType w:val="singleLevel"/>
    <w:tmpl w:val="59BF790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3E09"/>
    <w:rsid w:val="00603A38"/>
    <w:rsid w:val="02281B1E"/>
    <w:rsid w:val="043537F7"/>
    <w:rsid w:val="0FFA6D5F"/>
    <w:rsid w:val="127C7DAE"/>
    <w:rsid w:val="12C93E09"/>
    <w:rsid w:val="1C8107E5"/>
    <w:rsid w:val="26EF76AC"/>
    <w:rsid w:val="27692A66"/>
    <w:rsid w:val="29655848"/>
    <w:rsid w:val="2DA876C5"/>
    <w:rsid w:val="36AA5D53"/>
    <w:rsid w:val="3E77561D"/>
    <w:rsid w:val="4C2C0935"/>
    <w:rsid w:val="4DCF6A35"/>
    <w:rsid w:val="4FFA3825"/>
    <w:rsid w:val="52E819B1"/>
    <w:rsid w:val="534B2224"/>
    <w:rsid w:val="567C12A8"/>
    <w:rsid w:val="5EC42BE5"/>
    <w:rsid w:val="6D6C7381"/>
    <w:rsid w:val="757C1E44"/>
    <w:rsid w:val="796B3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 Char Char Char"/>
    <w:basedOn w:val="5"/>
    <w:link w:val="10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10">
    <w:name w:val=" Char"/>
    <w:basedOn w:val="1"/>
    <w:link w:val="9"/>
    <w:qFormat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2017-09-12T09:38:00Z</dcterms:created>
  <dc:creator>Administrator</dc:creator>
  <cp:lastModifiedBy>Administrator</cp:lastModifiedBy>
  <dcterms:modified xsi:type="dcterms:W3CDTF">2017-09-18T07:34:20Z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